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A75" w:rsidRPr="006F2705" w:rsidRDefault="00946A75" w:rsidP="00946A75">
      <w:p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F270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SESJA EGZAMINACYJNA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2025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/2025 – SEMESTR SZÓSTY – A6</w:t>
      </w:r>
      <w:r w:rsidRPr="006F2705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46A75" w:rsidRDefault="00946A75" w:rsidP="00946A75">
      <w:p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F2705">
        <w:rPr>
          <w:rFonts w:eastAsia="Times New Roman" w:cstheme="minorHAnsi"/>
          <w:color w:val="000000"/>
          <w:sz w:val="20"/>
          <w:szCs w:val="20"/>
          <w:lang w:eastAsia="pl-PL"/>
        </w:rPr>
        <w:t>EGZAMIN USTNY – JĘZYK POLSKI</w:t>
      </w:r>
    </w:p>
    <w:p w:rsidR="00946A75" w:rsidRDefault="00946A75" w:rsidP="00946A7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Wyjaśnij następujące terminy: dadaizm, surrealizm, kubizm, futuryzm, ekspresjonizm.</w:t>
      </w:r>
    </w:p>
    <w:p w:rsidR="00946A75" w:rsidRDefault="00946A75" w:rsidP="00946A7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Grupa literacka Ekspresjoniści – charakterystyka, przedstawiciele, założenia.</w:t>
      </w:r>
    </w:p>
    <w:p w:rsidR="00946A75" w:rsidRPr="00586256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Grupa literacka Skamander</w:t>
      </w:r>
      <w:r w:rsidRPr="0058625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charakterystyka, przedstawiciele, założenia.</w:t>
      </w:r>
    </w:p>
    <w:p w:rsidR="00946A75" w:rsidRPr="00586256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8625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Grupa literacka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Futuryśc</w:t>
      </w:r>
      <w:r w:rsidRPr="00586256">
        <w:rPr>
          <w:rFonts w:eastAsia="Times New Roman" w:cstheme="minorHAnsi"/>
          <w:color w:val="000000"/>
          <w:sz w:val="20"/>
          <w:szCs w:val="20"/>
          <w:lang w:eastAsia="pl-PL"/>
        </w:rPr>
        <w:t>i – charakterystyka, przedstawiciele, założenia.</w:t>
      </w:r>
    </w:p>
    <w:p w:rsidR="00946A75" w:rsidRPr="00586256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8625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Grupa literacka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Awangarda Krakowska </w:t>
      </w:r>
      <w:r w:rsidRPr="0058625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charakterystyka, przedstawiciele, założenia.</w:t>
      </w:r>
    </w:p>
    <w:p w:rsidR="00946A75" w:rsidRDefault="00946A75" w:rsidP="00946A7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Analiza i interpretacja wiersza Leopolda Staffa „Wysokie drzewa”.  (TEKST)</w:t>
      </w:r>
    </w:p>
    <w:p w:rsidR="00946A75" w:rsidRPr="00586256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86256">
        <w:rPr>
          <w:rFonts w:eastAsia="Times New Roman" w:cstheme="minorHAnsi"/>
          <w:color w:val="000000"/>
          <w:sz w:val="20"/>
          <w:szCs w:val="20"/>
          <w:lang w:eastAsia="pl-PL"/>
        </w:rPr>
        <w:t>Analiza i interpretacja wiersza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Leopolda Staffa „Ars poetica</w:t>
      </w:r>
      <w:r w:rsidRPr="00586256">
        <w:rPr>
          <w:rFonts w:eastAsia="Times New Roman" w:cstheme="minorHAnsi"/>
          <w:color w:val="000000"/>
          <w:sz w:val="20"/>
          <w:szCs w:val="20"/>
          <w:lang w:eastAsia="pl-PL"/>
        </w:rPr>
        <w:t>”.  (TEKST)</w:t>
      </w:r>
    </w:p>
    <w:p w:rsidR="00946A75" w:rsidRPr="00586256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86256">
        <w:rPr>
          <w:rFonts w:eastAsia="Times New Roman" w:cstheme="minorHAnsi"/>
          <w:color w:val="000000"/>
          <w:sz w:val="20"/>
          <w:szCs w:val="20"/>
          <w:lang w:eastAsia="pl-PL"/>
        </w:rPr>
        <w:t>Analiza i inter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pretacja wiersza Bolesława Leśmiana „Dusiołek</w:t>
      </w:r>
      <w:r w:rsidRPr="00586256">
        <w:rPr>
          <w:rFonts w:eastAsia="Times New Roman" w:cstheme="minorHAnsi"/>
          <w:color w:val="000000"/>
          <w:sz w:val="20"/>
          <w:szCs w:val="20"/>
          <w:lang w:eastAsia="pl-PL"/>
        </w:rPr>
        <w:t>”.  (TEKST)</w:t>
      </w:r>
    </w:p>
    <w:p w:rsidR="00946A75" w:rsidRPr="00586256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86256">
        <w:rPr>
          <w:rFonts w:eastAsia="Times New Roman" w:cstheme="minorHAnsi"/>
          <w:color w:val="000000"/>
          <w:sz w:val="20"/>
          <w:szCs w:val="20"/>
          <w:lang w:eastAsia="pl-PL"/>
        </w:rPr>
        <w:t>Analiza i interpretacja wier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sza Bolesława Leśmiana „Dziewczyna</w:t>
      </w:r>
      <w:r w:rsidRPr="00586256">
        <w:rPr>
          <w:rFonts w:eastAsia="Times New Roman" w:cstheme="minorHAnsi"/>
          <w:color w:val="000000"/>
          <w:sz w:val="20"/>
          <w:szCs w:val="20"/>
          <w:lang w:eastAsia="pl-PL"/>
        </w:rPr>
        <w:t>”.  (TEKST)</w:t>
      </w:r>
    </w:p>
    <w:p w:rsidR="00946A75" w:rsidRPr="00586256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86256">
        <w:rPr>
          <w:rFonts w:eastAsia="Times New Roman" w:cstheme="minorHAnsi"/>
          <w:color w:val="000000"/>
          <w:sz w:val="20"/>
          <w:szCs w:val="20"/>
          <w:lang w:eastAsia="pl-PL"/>
        </w:rPr>
        <w:t>Analiza i interpretac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ja wiersza Bolesława Leśmiana „Urszula Kochanowska</w:t>
      </w:r>
      <w:r w:rsidRPr="00586256">
        <w:rPr>
          <w:rFonts w:eastAsia="Times New Roman" w:cstheme="minorHAnsi"/>
          <w:color w:val="000000"/>
          <w:sz w:val="20"/>
          <w:szCs w:val="20"/>
          <w:lang w:eastAsia="pl-PL"/>
        </w:rPr>
        <w:t>”.  (TEKST)</w:t>
      </w:r>
    </w:p>
    <w:p w:rsidR="00946A75" w:rsidRPr="00982E64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82E64">
        <w:rPr>
          <w:rFonts w:eastAsia="Times New Roman" w:cstheme="minorHAnsi"/>
          <w:color w:val="000000"/>
          <w:sz w:val="20"/>
          <w:szCs w:val="20"/>
          <w:lang w:eastAsia="pl-PL"/>
        </w:rPr>
        <w:t>Analiza i interpretacja wier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sza Bolesława Leśmiana „W malinowym chruśniaku</w:t>
      </w:r>
      <w:r w:rsidRPr="00982E64">
        <w:rPr>
          <w:rFonts w:eastAsia="Times New Roman" w:cstheme="minorHAnsi"/>
          <w:color w:val="000000"/>
          <w:sz w:val="20"/>
          <w:szCs w:val="20"/>
          <w:lang w:eastAsia="pl-PL"/>
        </w:rPr>
        <w:t>”.  (TEKST)</w:t>
      </w:r>
    </w:p>
    <w:p w:rsidR="00946A75" w:rsidRPr="00982E64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82E64">
        <w:rPr>
          <w:rFonts w:eastAsia="Times New Roman" w:cstheme="minorHAnsi"/>
          <w:color w:val="000000"/>
          <w:sz w:val="20"/>
          <w:szCs w:val="20"/>
          <w:lang w:eastAsia="pl-PL"/>
        </w:rPr>
        <w:t>Analiza i interpre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tacja wiersza Juliana Tuwima „Wiosna</w:t>
      </w:r>
      <w:r w:rsidRPr="00982E64">
        <w:rPr>
          <w:rFonts w:eastAsia="Times New Roman" w:cstheme="minorHAnsi"/>
          <w:color w:val="000000"/>
          <w:sz w:val="20"/>
          <w:szCs w:val="20"/>
          <w:lang w:eastAsia="pl-PL"/>
        </w:rPr>
        <w:t>”.  (TEKST)</w:t>
      </w:r>
    </w:p>
    <w:p w:rsidR="00946A75" w:rsidRPr="00982E64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82E64">
        <w:rPr>
          <w:rFonts w:eastAsia="Times New Roman" w:cstheme="minorHAnsi"/>
          <w:color w:val="000000"/>
          <w:sz w:val="20"/>
          <w:szCs w:val="20"/>
          <w:lang w:eastAsia="pl-PL"/>
        </w:rPr>
        <w:t>Analiza i interpretacj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a wiersza Juliana Tuwima „do krytyków</w:t>
      </w:r>
      <w:r w:rsidRPr="00982E64">
        <w:rPr>
          <w:rFonts w:eastAsia="Times New Roman" w:cstheme="minorHAnsi"/>
          <w:color w:val="000000"/>
          <w:sz w:val="20"/>
          <w:szCs w:val="20"/>
          <w:lang w:eastAsia="pl-PL"/>
        </w:rPr>
        <w:t>”.  (TEKST)</w:t>
      </w:r>
    </w:p>
    <w:p w:rsidR="00946A75" w:rsidRPr="00982E64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82E64">
        <w:rPr>
          <w:rFonts w:eastAsia="Times New Roman" w:cstheme="minorHAnsi"/>
          <w:color w:val="000000"/>
          <w:sz w:val="20"/>
          <w:szCs w:val="20"/>
          <w:lang w:eastAsia="pl-PL"/>
        </w:rPr>
        <w:t>Analiza i interpretacja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wiersza Juliana Tuwima „do prostego człowieka</w:t>
      </w:r>
      <w:r w:rsidRPr="00982E64">
        <w:rPr>
          <w:rFonts w:eastAsia="Times New Roman" w:cstheme="minorHAnsi"/>
          <w:color w:val="000000"/>
          <w:sz w:val="20"/>
          <w:szCs w:val="20"/>
          <w:lang w:eastAsia="pl-PL"/>
        </w:rPr>
        <w:t>”.  (TEKST)</w:t>
      </w:r>
    </w:p>
    <w:p w:rsidR="00946A75" w:rsidRPr="00982E64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82E64">
        <w:rPr>
          <w:rFonts w:eastAsia="Times New Roman" w:cstheme="minorHAnsi"/>
          <w:color w:val="000000"/>
          <w:sz w:val="20"/>
          <w:szCs w:val="20"/>
          <w:lang w:eastAsia="pl-PL"/>
        </w:rPr>
        <w:t>Analiza i interpretacj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a wiersza Juliana Tuwima „Mieszkańcy</w:t>
      </w:r>
      <w:r w:rsidRPr="00982E64">
        <w:rPr>
          <w:rFonts w:eastAsia="Times New Roman" w:cstheme="minorHAnsi"/>
          <w:color w:val="000000"/>
          <w:sz w:val="20"/>
          <w:szCs w:val="20"/>
          <w:lang w:eastAsia="pl-PL"/>
        </w:rPr>
        <w:t>”.  (TEKST)</w:t>
      </w:r>
    </w:p>
    <w:p w:rsidR="00946A75" w:rsidRPr="00982E64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82E64">
        <w:rPr>
          <w:rFonts w:eastAsia="Times New Roman" w:cstheme="minorHAnsi"/>
          <w:color w:val="000000"/>
          <w:sz w:val="20"/>
          <w:szCs w:val="20"/>
          <w:lang w:eastAsia="pl-PL"/>
        </w:rPr>
        <w:t>Analiza i interpretacj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a wiersza Juliana Tuwima „Rzecz czarnoleska</w:t>
      </w:r>
      <w:r w:rsidRPr="00982E64">
        <w:rPr>
          <w:rFonts w:eastAsia="Times New Roman" w:cstheme="minorHAnsi"/>
          <w:color w:val="000000"/>
          <w:sz w:val="20"/>
          <w:szCs w:val="20"/>
          <w:lang w:eastAsia="pl-PL"/>
        </w:rPr>
        <w:t>”.  (TEKST)</w:t>
      </w:r>
    </w:p>
    <w:p w:rsidR="00946A75" w:rsidRDefault="00946A75" w:rsidP="00946A7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Stefan Żeromski. „Przedwiośnie” – geneza utworu.</w:t>
      </w:r>
    </w:p>
    <w:p w:rsidR="00946A75" w:rsidRPr="00982E64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82E64">
        <w:rPr>
          <w:rFonts w:eastAsia="Times New Roman" w:cstheme="minorHAnsi"/>
          <w:color w:val="000000"/>
          <w:sz w:val="20"/>
          <w:szCs w:val="20"/>
          <w:lang w:eastAsia="pl-PL"/>
        </w:rPr>
        <w:t>Stefan Żeromski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 „Przedwiośnie” – program polityczny powieści (utopijny program szklanych domów, pozytywistyczny program Szymona Gajowca, program komunistów).</w:t>
      </w:r>
      <w:r w:rsidRPr="00982E64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46A75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82E64">
        <w:rPr>
          <w:rFonts w:eastAsia="Times New Roman" w:cstheme="minorHAnsi"/>
          <w:color w:val="000000"/>
          <w:sz w:val="20"/>
          <w:szCs w:val="20"/>
          <w:lang w:eastAsia="pl-PL"/>
        </w:rPr>
        <w:t>Stefan Żeromski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 „Przedwiośnie” – obraz rewolucji</w:t>
      </w:r>
      <w:r w:rsidRPr="00982E64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46A75" w:rsidRPr="00982E64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Stefan Żeromski. „Przedwiośnie” – charakterystyka głównego bohatera. </w:t>
      </w:r>
      <w:bookmarkStart w:id="0" w:name="_GoBack"/>
      <w:bookmarkEnd w:id="0"/>
    </w:p>
    <w:p w:rsidR="00946A75" w:rsidRDefault="00946A75" w:rsidP="00946A7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Zofia Nałkowska. „Granica” – metaforyczne znaczenia tytułu powieści.</w:t>
      </w:r>
    </w:p>
    <w:p w:rsidR="00946A75" w:rsidRPr="00476F9C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Zofia Nałkowska. „Granica” jako powieść moralno-psychologiczna</w:t>
      </w:r>
      <w:r w:rsidRPr="00476F9C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46A75" w:rsidRPr="00476F9C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76F9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Zofia Nałkowska. „Granica” –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charakterystyka Zenona Ziembiewicza</w:t>
      </w:r>
      <w:r w:rsidRPr="00476F9C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46A75" w:rsidRDefault="00946A75" w:rsidP="00946A7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Witold Gombrowicz. „Ferdydurke” – charakterystyka głównego bohatera.</w:t>
      </w:r>
    </w:p>
    <w:p w:rsidR="00946A75" w:rsidRPr="00476F9C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76F9C">
        <w:rPr>
          <w:rFonts w:eastAsia="Times New Roman" w:cstheme="minorHAnsi"/>
          <w:color w:val="000000"/>
          <w:sz w:val="20"/>
          <w:szCs w:val="20"/>
          <w:lang w:eastAsia="pl-PL"/>
        </w:rPr>
        <w:t>Wit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old Gombrowicz. „Ferdydurke” – wyjaśnij słowa klucze: „pupa”, „gęba”, „łydka”</w:t>
      </w:r>
      <w:r w:rsidRPr="00476F9C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46A75" w:rsidRPr="00476F9C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76F9C">
        <w:rPr>
          <w:rFonts w:eastAsia="Times New Roman" w:cstheme="minorHAnsi"/>
          <w:color w:val="000000"/>
          <w:sz w:val="20"/>
          <w:szCs w:val="20"/>
          <w:lang w:eastAsia="pl-PL"/>
        </w:rPr>
        <w:t>Witold Gombr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owicz. „Ferdydurke” – wyjaśnij pojęcie formy</w:t>
      </w:r>
      <w:r w:rsidRPr="00476F9C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46A75" w:rsidRPr="00476F9C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76F9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Witold Gombrowicz. „Ferdydurke” –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walka z mitami kultury i obyczajowości</w:t>
      </w:r>
      <w:r w:rsidRPr="00476F9C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46A75" w:rsidRPr="00476F9C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76F9C">
        <w:rPr>
          <w:rFonts w:eastAsia="Times New Roman" w:cstheme="minorHAnsi"/>
          <w:color w:val="000000"/>
          <w:sz w:val="20"/>
          <w:szCs w:val="20"/>
          <w:lang w:eastAsia="pl-PL"/>
        </w:rPr>
        <w:t>W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itold Gombrowicz. „Ferdydurke” jako powieść awangardowa</w:t>
      </w:r>
      <w:r w:rsidRPr="00476F9C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46A75" w:rsidRDefault="00946A75" w:rsidP="00946A7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Stanisław Ignacy Witkiewicz. „Szewcy” – geneza utworu.</w:t>
      </w:r>
    </w:p>
    <w:p w:rsidR="00946A75" w:rsidRPr="003620BE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620BE">
        <w:rPr>
          <w:rFonts w:eastAsia="Times New Roman" w:cstheme="minorHAnsi"/>
          <w:color w:val="000000"/>
          <w:sz w:val="20"/>
          <w:szCs w:val="20"/>
          <w:lang w:eastAsia="pl-PL"/>
        </w:rPr>
        <w:t>Stanisław Ignacy Witkiewicz. „Szewcy” – geneza utworu.</w:t>
      </w:r>
    </w:p>
    <w:p w:rsidR="00946A75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F3B2A">
        <w:rPr>
          <w:rFonts w:eastAsia="Times New Roman" w:cstheme="minorHAnsi"/>
          <w:color w:val="000000"/>
          <w:sz w:val="20"/>
          <w:szCs w:val="20"/>
          <w:lang w:eastAsia="pl-PL"/>
        </w:rPr>
        <w:t>Stanisław Ignacy Witk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iewicz. „Szewcy” – obraz rewolucji</w:t>
      </w:r>
      <w:r w:rsidRPr="008F3B2A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46A75" w:rsidRPr="008F3B2A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F3B2A">
        <w:rPr>
          <w:rFonts w:eastAsia="Times New Roman" w:cstheme="minorHAnsi"/>
          <w:color w:val="000000"/>
          <w:sz w:val="20"/>
          <w:szCs w:val="20"/>
          <w:lang w:eastAsia="pl-PL"/>
        </w:rPr>
        <w:t>Stanisław Ignacy Witk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iewicz. „Szewcy” – katastrofizm Witkiewicza</w:t>
      </w:r>
      <w:r w:rsidRPr="008F3B2A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46A75" w:rsidRPr="008F3B2A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F3B2A">
        <w:rPr>
          <w:rFonts w:eastAsia="Times New Roman" w:cstheme="minorHAnsi"/>
          <w:color w:val="000000"/>
          <w:sz w:val="20"/>
          <w:szCs w:val="20"/>
          <w:lang w:eastAsia="pl-PL"/>
        </w:rPr>
        <w:t>Stanisław Ignacy Witk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iewicz. „Szewcy” – teoria Czystej Formy</w:t>
      </w:r>
      <w:r w:rsidRPr="008F3B2A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46A75" w:rsidRDefault="00946A75" w:rsidP="00946A7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Michał Bułhakow. „Mistrz i Małgorzata” – geneza utwory.</w:t>
      </w:r>
    </w:p>
    <w:p w:rsidR="00946A75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A68C8">
        <w:rPr>
          <w:rFonts w:eastAsia="Times New Roman" w:cstheme="minorHAnsi"/>
          <w:color w:val="000000"/>
          <w:sz w:val="20"/>
          <w:szCs w:val="20"/>
          <w:lang w:eastAsia="pl-PL"/>
        </w:rPr>
        <w:t>Michał Bułhakow. „Mist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rz i Małgorzata” – problematyka moralna</w:t>
      </w:r>
      <w:r w:rsidRPr="00DA68C8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46A75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A68C8">
        <w:rPr>
          <w:rFonts w:eastAsia="Times New Roman" w:cstheme="minorHAnsi"/>
          <w:color w:val="000000"/>
          <w:sz w:val="20"/>
          <w:szCs w:val="20"/>
          <w:lang w:eastAsia="pl-PL"/>
        </w:rPr>
        <w:t>Michał Bułhakow. „Mist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rz i Małgorzata” – obraz Moskwy</w:t>
      </w:r>
      <w:r w:rsidRPr="00DA68C8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46A75" w:rsidRPr="00DA68C8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A68C8">
        <w:rPr>
          <w:rFonts w:eastAsia="Times New Roman" w:cstheme="minorHAnsi"/>
          <w:color w:val="000000"/>
          <w:sz w:val="20"/>
          <w:szCs w:val="20"/>
          <w:lang w:eastAsia="pl-PL"/>
        </w:rPr>
        <w:t>Michał Bułhakow. „Mist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rz i Małgorzata” – motyw artysty</w:t>
      </w:r>
      <w:r w:rsidRPr="00DA68C8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46A75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A68C8">
        <w:rPr>
          <w:rFonts w:eastAsia="Times New Roman" w:cstheme="minorHAnsi"/>
          <w:color w:val="000000"/>
          <w:sz w:val="20"/>
          <w:szCs w:val="20"/>
          <w:lang w:eastAsia="pl-PL"/>
        </w:rPr>
        <w:t>Michał Bułhakow. „Mist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rz i Małgorzata” – kompozycja powieści</w:t>
      </w:r>
      <w:r w:rsidRPr="00DA68C8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46A75" w:rsidRPr="00DA68C8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A68C8">
        <w:rPr>
          <w:rFonts w:eastAsia="Times New Roman" w:cstheme="minorHAnsi"/>
          <w:color w:val="000000"/>
          <w:sz w:val="20"/>
          <w:szCs w:val="20"/>
          <w:lang w:eastAsia="pl-PL"/>
        </w:rPr>
        <w:t>Michał Bułhakow. „Mistrz i M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ałgorzata” – pojęcie Piłatyzmu</w:t>
      </w:r>
      <w:r w:rsidRPr="00DA68C8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46A75" w:rsidRPr="00DA68C8" w:rsidRDefault="00946A75" w:rsidP="00946A7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A68C8">
        <w:rPr>
          <w:rFonts w:eastAsia="Times New Roman" w:cstheme="minorHAnsi"/>
          <w:color w:val="000000"/>
          <w:sz w:val="20"/>
          <w:szCs w:val="20"/>
          <w:lang w:eastAsia="pl-PL"/>
        </w:rPr>
        <w:t>Michał Bułhakow. „Mist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rz i Małgorzata” – konstrukcja fabuły</w:t>
      </w:r>
      <w:r w:rsidRPr="00DA68C8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46A75" w:rsidRPr="00DA68C8" w:rsidRDefault="00946A75" w:rsidP="00946A75">
      <w:pPr>
        <w:ind w:left="36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946A75" w:rsidRPr="00521C48" w:rsidRDefault="00946A75" w:rsidP="00946A75">
      <w:pPr>
        <w:jc w:val="both"/>
        <w:rPr>
          <w:sz w:val="20"/>
          <w:szCs w:val="20"/>
        </w:rPr>
      </w:pPr>
    </w:p>
    <w:p w:rsidR="00946A75" w:rsidRDefault="00946A75" w:rsidP="00946A75"/>
    <w:p w:rsidR="00946A75" w:rsidRDefault="00946A75" w:rsidP="00946A75"/>
    <w:p w:rsidR="00A84A33" w:rsidRDefault="00A84A33"/>
    <w:sectPr w:rsidR="00A84A33" w:rsidSect="009C64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F0DEC"/>
    <w:multiLevelType w:val="hybridMultilevel"/>
    <w:tmpl w:val="39C45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75"/>
    <w:rsid w:val="00946A75"/>
    <w:rsid w:val="00A8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20C88-890D-486F-AFDF-45A4485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1</cp:revision>
  <dcterms:created xsi:type="dcterms:W3CDTF">2026-05-26T06:43:00Z</dcterms:created>
  <dcterms:modified xsi:type="dcterms:W3CDTF">2026-05-26T06:47:00Z</dcterms:modified>
</cp:coreProperties>
</file>